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8D" w:rsidRPr="009A468D" w:rsidRDefault="009A468D" w:rsidP="009A468D">
      <w:pPr>
        <w:shd w:val="clear" w:color="auto" w:fill="FFFFFF"/>
        <w:spacing w:after="324" w:line="319" w:lineRule="atLeast"/>
        <w:jc w:val="both"/>
        <w:rPr>
          <w:rFonts w:ascii="Calibri" w:eastAsia="Times New Roman" w:hAnsi="Calibri" w:cs="Calibri"/>
          <w:color w:val="444444"/>
          <w:sz w:val="28"/>
          <w:szCs w:val="28"/>
          <w:u w:val="single"/>
          <w:lang w:eastAsia="es-MX"/>
        </w:rPr>
      </w:pPr>
      <w:bookmarkStart w:id="0" w:name="_GoBack"/>
      <w:r w:rsidRPr="009A468D">
        <w:rPr>
          <w:rFonts w:ascii="Calibri" w:eastAsia="Times New Roman" w:hAnsi="Calibri" w:cs="Calibri"/>
          <w:b/>
          <w:bCs/>
          <w:color w:val="444444"/>
          <w:sz w:val="28"/>
          <w:szCs w:val="28"/>
          <w:u w:val="single"/>
          <w:lang w:eastAsia="es-MX"/>
        </w:rPr>
        <w:t>Circular 14</w:t>
      </w:r>
      <w:r w:rsidR="007D631E">
        <w:rPr>
          <w:rFonts w:ascii="Calibri" w:eastAsia="Times New Roman" w:hAnsi="Calibri" w:cs="Calibri"/>
          <w:b/>
          <w:bCs/>
          <w:color w:val="444444"/>
          <w:sz w:val="28"/>
          <w:szCs w:val="28"/>
          <w:u w:val="single"/>
          <w:lang w:eastAsia="es-MX"/>
        </w:rPr>
        <w:t>/2014 Análisis Financiero y Presupuestal</w:t>
      </w:r>
      <w:r w:rsidRPr="009A468D">
        <w:rPr>
          <w:rFonts w:ascii="Calibri" w:eastAsia="Times New Roman" w:hAnsi="Calibri" w:cs="Calibri"/>
          <w:b/>
          <w:bCs/>
          <w:color w:val="444444"/>
          <w:sz w:val="28"/>
          <w:szCs w:val="28"/>
          <w:u w:val="single"/>
          <w:lang w:eastAsia="es-MX"/>
        </w:rPr>
        <w:t>.  Registro del Capítulo 1000 Servicios Personales</w:t>
      </w:r>
      <w:r w:rsidR="007D631E">
        <w:rPr>
          <w:rFonts w:ascii="Calibri" w:eastAsia="Times New Roman" w:hAnsi="Calibri" w:cs="Calibri"/>
          <w:b/>
          <w:bCs/>
          <w:color w:val="444444"/>
          <w:sz w:val="28"/>
          <w:szCs w:val="28"/>
          <w:u w:val="single"/>
          <w:lang w:eastAsia="es-MX"/>
        </w:rPr>
        <w:t>.</w:t>
      </w:r>
    </w:p>
    <w:p w:rsidR="009A468D" w:rsidRPr="009A468D" w:rsidRDefault="009A468D" w:rsidP="009A468D">
      <w:pPr>
        <w:shd w:val="clear" w:color="auto" w:fill="FFFFFF"/>
        <w:spacing w:after="324" w:line="319" w:lineRule="atLeast"/>
        <w:jc w:val="both"/>
        <w:rPr>
          <w:rFonts w:ascii="Calibri" w:eastAsia="Times New Roman" w:hAnsi="Calibri" w:cs="Calibri"/>
          <w:color w:val="444444"/>
          <w:sz w:val="23"/>
          <w:szCs w:val="23"/>
          <w:lang w:eastAsia="es-MX"/>
        </w:rPr>
      </w:pPr>
    </w:p>
    <w:p w:rsidR="009A468D" w:rsidRPr="009A468D" w:rsidRDefault="009A468D" w:rsidP="009A468D">
      <w:pPr>
        <w:shd w:val="clear" w:color="auto" w:fill="FFFFFF"/>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b/>
          <w:bCs/>
          <w:color w:val="444444"/>
          <w:sz w:val="23"/>
          <w:szCs w:val="23"/>
          <w:lang w:eastAsia="es-MX"/>
        </w:rPr>
        <w:t>Con atención a:</w:t>
      </w:r>
      <w:r>
        <w:rPr>
          <w:rFonts w:ascii="Calibri" w:eastAsia="Times New Roman" w:hAnsi="Calibri" w:cs="Calibri"/>
          <w:b/>
          <w:bCs/>
          <w:color w:val="444444"/>
          <w:sz w:val="23"/>
          <w:szCs w:val="23"/>
          <w:lang w:eastAsia="es-MX"/>
        </w:rPr>
        <w:t xml:space="preserve"> </w:t>
      </w:r>
      <w:r w:rsidRPr="009A468D">
        <w:rPr>
          <w:rFonts w:ascii="Calibri" w:eastAsia="Times New Roman" w:hAnsi="Calibri" w:cs="Calibri"/>
          <w:b/>
          <w:bCs/>
          <w:color w:val="444444"/>
          <w:sz w:val="23"/>
          <w:szCs w:val="23"/>
          <w:lang w:eastAsia="es-MX"/>
        </w:rPr>
        <w:t>Presidentes y Tesoreros Municipales y Directores de Sistemas de Agua Potable.</w:t>
      </w:r>
    </w:p>
    <w:bookmarkEnd w:id="0"/>
    <w:p w:rsidR="009A468D" w:rsidRPr="009A468D" w:rsidRDefault="009A468D" w:rsidP="009A468D">
      <w:pPr>
        <w:shd w:val="clear" w:color="auto" w:fill="FFFFFF"/>
        <w:spacing w:after="324" w:line="319" w:lineRule="atLeast"/>
        <w:jc w:val="both"/>
        <w:rPr>
          <w:rFonts w:ascii="Calibri" w:eastAsia="Times New Roman" w:hAnsi="Calibri" w:cs="Calibri"/>
          <w:color w:val="444444"/>
          <w:sz w:val="23"/>
          <w:szCs w:val="23"/>
          <w:lang w:eastAsia="es-MX"/>
        </w:rPr>
      </w:pPr>
    </w:p>
    <w:p w:rsidR="009A468D" w:rsidRPr="009A468D" w:rsidRDefault="009A468D" w:rsidP="009A468D">
      <w:pPr>
        <w:shd w:val="clear" w:color="auto" w:fill="FFFFFF"/>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3"/>
          <w:szCs w:val="23"/>
          <w:lang w:eastAsia="es-MX"/>
        </w:rPr>
        <w:t>Atendiendo a lo dispuesto en el documento “</w:t>
      </w:r>
      <w:r w:rsidRPr="009A468D">
        <w:rPr>
          <w:rFonts w:ascii="Calibri" w:eastAsia="Times New Roman" w:hAnsi="Calibri" w:cs="Calibri"/>
          <w:i/>
          <w:iCs/>
          <w:color w:val="444444"/>
          <w:sz w:val="23"/>
          <w:szCs w:val="23"/>
          <w:lang w:eastAsia="es-MX"/>
        </w:rPr>
        <w:t>MEJORAS a los documentos aprobados por el Consejo Nacional de Armonización Contable</w:t>
      </w:r>
      <w:r w:rsidRPr="009A468D">
        <w:rPr>
          <w:rFonts w:ascii="Calibri" w:eastAsia="Times New Roman" w:hAnsi="Calibri" w:cs="Calibri"/>
          <w:color w:val="444444"/>
          <w:sz w:val="23"/>
          <w:szCs w:val="23"/>
          <w:lang w:eastAsia="es-MX"/>
        </w:rPr>
        <w:t>”, publicado en el Diario Oficial el Miércoles 2 de enero de 2013, que establece mejoras a las “Normas y Metodología para la Determinación de los Momentos Contables de los Egresos” e indica que en lo que corresponde al presupuesto de las partidas del Capítulo 1000 , deben comprometerse al inicio del ejercicio, incluyendo todas las remuneraciones de tipo permanentes tales como sueldos, primas, asignaciones, compensaciones, gratificación de fin de año, cuotas patronales y otras prestaciones.</w:t>
      </w:r>
    </w:p>
    <w:p w:rsidR="009A468D" w:rsidRPr="009A468D" w:rsidRDefault="009A468D" w:rsidP="009A468D">
      <w:pPr>
        <w:shd w:val="clear" w:color="auto" w:fill="FFFFFF"/>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3"/>
          <w:szCs w:val="23"/>
          <w:lang w:eastAsia="es-MX"/>
        </w:rPr>
        <w:t> </w:t>
      </w:r>
    </w:p>
    <w:p w:rsidR="009A468D" w:rsidRPr="009A468D" w:rsidRDefault="009A468D" w:rsidP="009A468D">
      <w:pPr>
        <w:shd w:val="clear" w:color="auto" w:fill="FFFFFF"/>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3"/>
          <w:szCs w:val="23"/>
          <w:lang w:eastAsia="es-MX"/>
        </w:rPr>
        <w:t>Debido a que varios entes ya tienen avance significativo en la captura de información en el SAACG.Net, y probablemente ya realizaron afectaciones a través de “Gasto Directo”  de algunas partidas del capítulo en mención, sin haber comprometido el presupuesto como indica el párrafo anterior, se le informa que debido a que como es obligatorio para todos los entes públicos (independientemente de que sean menores a 25 mil habitantes), el manejar su registro presupuestal afectando los Momentos Contables del comprometido, devengado, ejercido y pagado, </w:t>
      </w:r>
      <w:r w:rsidRPr="009A468D">
        <w:rPr>
          <w:rFonts w:ascii="Calibri" w:eastAsia="Times New Roman" w:hAnsi="Calibri" w:cs="Calibri"/>
          <w:b/>
          <w:bCs/>
          <w:color w:val="444444"/>
          <w:sz w:val="23"/>
          <w:szCs w:val="23"/>
          <w:lang w:eastAsia="es-MX"/>
        </w:rPr>
        <w:t>deberá a más tardar para el 15 de abril del año en curso, afectar el Comprometido del Capítulo 1000, por el saldo presupuestal que arroje su Estado del Ejercicio del Presupuesto (Presupuesto Disponible para Comprometer) y así cada quincena devengar, ejercer y pagar, lo correspondiente al periodo (Módulo de Egresos).</w:t>
      </w:r>
    </w:p>
    <w:p w:rsidR="009A468D" w:rsidRPr="009A468D" w:rsidRDefault="009A468D" w:rsidP="009A468D">
      <w:pPr>
        <w:shd w:val="clear" w:color="auto" w:fill="FFFFFF"/>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3"/>
          <w:szCs w:val="23"/>
          <w:lang w:eastAsia="es-MX"/>
        </w:rPr>
        <w:t> </w:t>
      </w:r>
    </w:p>
    <w:p w:rsidR="009A468D" w:rsidRPr="009A468D" w:rsidRDefault="009A468D" w:rsidP="009A468D">
      <w:pPr>
        <w:shd w:val="clear" w:color="auto" w:fill="FFFFFF"/>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3"/>
          <w:szCs w:val="23"/>
          <w:lang w:eastAsia="es-MX"/>
        </w:rPr>
        <w:t>Supuesto:</w:t>
      </w:r>
    </w:p>
    <w:p w:rsidR="009A468D" w:rsidRPr="009A468D" w:rsidRDefault="009A468D" w:rsidP="009A468D">
      <w:pPr>
        <w:shd w:val="clear" w:color="auto" w:fill="FFFFFF"/>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3"/>
          <w:szCs w:val="23"/>
          <w:lang w:eastAsia="es-MX"/>
        </w:rPr>
        <w:t> </w:t>
      </w:r>
    </w:p>
    <w:p w:rsidR="009A468D" w:rsidRPr="009A468D" w:rsidRDefault="009A468D" w:rsidP="009A468D">
      <w:pPr>
        <w:shd w:val="clear" w:color="auto" w:fill="FFFFFF"/>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3"/>
          <w:szCs w:val="23"/>
          <w:lang w:eastAsia="es-MX"/>
        </w:rPr>
        <w:t>Si con un mismo  cheque o transferencia de pago se afectaron Capítulos diferentes al 1000, como por ejemplo Capítulo 4000, deberán realizar un registro complementario  en póliza de Diario o Egresos afectando la clave presupuestal que le corresponda.</w:t>
      </w:r>
    </w:p>
    <w:p w:rsidR="009A468D" w:rsidRPr="009A468D" w:rsidRDefault="009A468D" w:rsidP="009A468D">
      <w:pPr>
        <w:shd w:val="clear" w:color="auto" w:fill="FFFFFF"/>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3"/>
          <w:szCs w:val="23"/>
          <w:lang w:eastAsia="es-MX"/>
        </w:rPr>
        <w:lastRenderedPageBreak/>
        <w:t> </w:t>
      </w:r>
    </w:p>
    <w:p w:rsidR="009A468D" w:rsidRPr="009A468D" w:rsidRDefault="009A468D" w:rsidP="009A468D">
      <w:pPr>
        <w:shd w:val="clear" w:color="auto" w:fill="FFFFFF"/>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3"/>
          <w:szCs w:val="23"/>
          <w:lang w:eastAsia="es-MX"/>
        </w:rPr>
        <w:t>Ejemplo:</w:t>
      </w:r>
    </w:p>
    <w:p w:rsidR="009A468D" w:rsidRPr="009A468D" w:rsidRDefault="009A468D" w:rsidP="009A468D">
      <w:pPr>
        <w:shd w:val="clear" w:color="auto" w:fill="FFFFFF"/>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3"/>
          <w:szCs w:val="23"/>
          <w:lang w:eastAsia="es-MX"/>
        </w:rPr>
        <w:t> </w:t>
      </w:r>
    </w:p>
    <w:tbl>
      <w:tblPr>
        <w:tblW w:w="0" w:type="auto"/>
        <w:shd w:val="clear" w:color="auto" w:fill="FFFFFF"/>
        <w:tblCellMar>
          <w:left w:w="0" w:type="dxa"/>
          <w:right w:w="0" w:type="dxa"/>
        </w:tblCellMar>
        <w:tblLook w:val="04A0" w:firstRow="1" w:lastRow="0" w:firstColumn="1" w:lastColumn="0" w:noHBand="0" w:noVBand="1"/>
      </w:tblPr>
      <w:tblGrid>
        <w:gridCol w:w="4489"/>
        <w:gridCol w:w="4489"/>
      </w:tblGrid>
      <w:tr w:rsidR="009A468D" w:rsidRPr="009A468D" w:rsidTr="009A468D">
        <w:tc>
          <w:tcPr>
            <w:tcW w:w="4489" w:type="dxa"/>
            <w:shd w:val="clear" w:color="auto" w:fill="FFFFFF"/>
            <w:tcMar>
              <w:top w:w="0" w:type="dxa"/>
              <w:left w:w="108" w:type="dxa"/>
              <w:bottom w:w="0" w:type="dxa"/>
              <w:right w:w="108" w:type="dxa"/>
            </w:tcMar>
            <w:hideMark/>
          </w:tcPr>
          <w:p w:rsidR="009A468D" w:rsidRPr="009A468D" w:rsidRDefault="009A468D" w:rsidP="009A468D">
            <w:pPr>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0"/>
                <w:szCs w:val="20"/>
                <w:lang w:eastAsia="es-MX"/>
              </w:rPr>
              <w:t>8270-531-101001-500-4431-1</w:t>
            </w:r>
          </w:p>
          <w:p w:rsidR="009A468D" w:rsidRPr="009A468D" w:rsidRDefault="009A468D" w:rsidP="009A468D">
            <w:pPr>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0"/>
                <w:szCs w:val="20"/>
                <w:lang w:eastAsia="es-MX"/>
              </w:rPr>
              <w:t> </w:t>
            </w:r>
          </w:p>
        </w:tc>
        <w:tc>
          <w:tcPr>
            <w:tcW w:w="4489" w:type="dxa"/>
            <w:shd w:val="clear" w:color="auto" w:fill="FFFFFF"/>
            <w:tcMar>
              <w:top w:w="0" w:type="dxa"/>
              <w:left w:w="108" w:type="dxa"/>
              <w:bottom w:w="0" w:type="dxa"/>
              <w:right w:w="108" w:type="dxa"/>
            </w:tcMar>
            <w:hideMark/>
          </w:tcPr>
          <w:p w:rsidR="009A468D" w:rsidRPr="009A468D" w:rsidRDefault="009A468D" w:rsidP="009A468D">
            <w:pPr>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0"/>
                <w:szCs w:val="20"/>
                <w:lang w:eastAsia="es-MX"/>
              </w:rPr>
              <w:t>8270 - Momento Contable Pagado</w:t>
            </w:r>
          </w:p>
          <w:p w:rsidR="009A468D" w:rsidRPr="009A468D" w:rsidRDefault="009A468D" w:rsidP="009A468D">
            <w:pPr>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0"/>
                <w:szCs w:val="20"/>
                <w:lang w:eastAsia="es-MX"/>
              </w:rPr>
              <w:t>531 – Fuente de Financiamiento</w:t>
            </w:r>
          </w:p>
          <w:p w:rsidR="009A468D" w:rsidRPr="009A468D" w:rsidRDefault="009A468D" w:rsidP="009A468D">
            <w:pPr>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0"/>
                <w:szCs w:val="20"/>
                <w:lang w:eastAsia="es-MX"/>
              </w:rPr>
              <w:t>101001 – Proyecto</w:t>
            </w:r>
          </w:p>
          <w:p w:rsidR="009A468D" w:rsidRPr="009A468D" w:rsidRDefault="009A468D" w:rsidP="009A468D">
            <w:pPr>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0"/>
                <w:szCs w:val="20"/>
                <w:lang w:eastAsia="es-MX"/>
              </w:rPr>
              <w:t>500 – Unidad Administrativa</w:t>
            </w:r>
          </w:p>
          <w:p w:rsidR="009A468D" w:rsidRPr="009A468D" w:rsidRDefault="009A468D" w:rsidP="009A468D">
            <w:pPr>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0"/>
                <w:szCs w:val="20"/>
                <w:lang w:eastAsia="es-MX"/>
              </w:rPr>
              <w:t>4431 – Objeto de Gasto</w:t>
            </w:r>
          </w:p>
          <w:p w:rsidR="009A468D" w:rsidRPr="009A468D" w:rsidRDefault="009A468D" w:rsidP="009A468D">
            <w:pPr>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0"/>
                <w:szCs w:val="20"/>
                <w:lang w:eastAsia="es-MX"/>
              </w:rPr>
              <w:t>1 – Tipo de Gasto</w:t>
            </w:r>
          </w:p>
          <w:p w:rsidR="009A468D" w:rsidRPr="009A468D" w:rsidRDefault="009A468D" w:rsidP="009A468D">
            <w:pPr>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0"/>
                <w:szCs w:val="20"/>
                <w:lang w:eastAsia="es-MX"/>
              </w:rPr>
              <w:t> </w:t>
            </w:r>
          </w:p>
        </w:tc>
      </w:tr>
    </w:tbl>
    <w:p w:rsidR="009A468D" w:rsidRPr="009A468D" w:rsidRDefault="009A468D" w:rsidP="009A468D">
      <w:pPr>
        <w:shd w:val="clear" w:color="auto" w:fill="FFFFFF"/>
        <w:spacing w:after="324" w:line="319" w:lineRule="atLeast"/>
        <w:jc w:val="both"/>
        <w:rPr>
          <w:rFonts w:ascii="Calibri" w:eastAsia="Times New Roman" w:hAnsi="Calibri" w:cs="Calibri"/>
          <w:color w:val="444444"/>
          <w:sz w:val="23"/>
          <w:szCs w:val="23"/>
          <w:lang w:eastAsia="es-MX"/>
        </w:rPr>
      </w:pPr>
      <w:r w:rsidRPr="009A468D">
        <w:rPr>
          <w:rFonts w:ascii="Calibri" w:eastAsia="Times New Roman" w:hAnsi="Calibri" w:cs="Calibri"/>
          <w:color w:val="444444"/>
          <w:sz w:val="23"/>
          <w:szCs w:val="23"/>
          <w:lang w:eastAsia="es-MX"/>
        </w:rPr>
        <w:t>Sin más por el momento quedamos a su disposición para atender cualquier duda o aclaración que se tenga al respecto, para lo que se podrán dirigir a esta Auditoría al teléfono (01 492) 92 98584 con los L.C. Karla Julieta Cardona Infante y L.C. Miguel Martínez Ramírez (ext. 156), o a través de correo electrónico a la dirección  armonizacion_asezac@hotmail.com.</w:t>
      </w:r>
    </w:p>
    <w:p w:rsidR="009A468D" w:rsidRPr="009A468D" w:rsidRDefault="009A468D" w:rsidP="009A468D">
      <w:pPr>
        <w:shd w:val="clear" w:color="auto" w:fill="FFFFFF"/>
        <w:spacing w:after="324" w:line="319" w:lineRule="atLeast"/>
        <w:jc w:val="both"/>
        <w:rPr>
          <w:rFonts w:ascii="Calibri" w:eastAsia="Times New Roman" w:hAnsi="Calibri" w:cs="Calibri"/>
          <w:color w:val="444444"/>
          <w:sz w:val="23"/>
          <w:szCs w:val="23"/>
          <w:lang w:eastAsia="es-MX"/>
        </w:rPr>
      </w:pPr>
    </w:p>
    <w:p w:rsidR="009A468D" w:rsidRPr="009A468D" w:rsidRDefault="009A468D" w:rsidP="009A468D">
      <w:pPr>
        <w:spacing w:after="0" w:line="240" w:lineRule="auto"/>
        <w:rPr>
          <w:rFonts w:ascii="Times New Roman" w:eastAsia="Times New Roman" w:hAnsi="Times New Roman" w:cs="Times New Roman"/>
          <w:sz w:val="24"/>
          <w:szCs w:val="24"/>
          <w:lang w:eastAsia="es-MX"/>
        </w:rPr>
      </w:pPr>
      <w:r w:rsidRPr="009A468D">
        <w:rPr>
          <w:rFonts w:ascii="Calibri" w:eastAsia="Times New Roman" w:hAnsi="Calibri" w:cs="Calibri"/>
          <w:color w:val="444444"/>
          <w:sz w:val="23"/>
          <w:szCs w:val="23"/>
          <w:lang w:eastAsia="es-MX"/>
        </w:rPr>
        <w:br/>
      </w:r>
    </w:p>
    <w:p w:rsidR="009A468D" w:rsidRPr="009A468D" w:rsidRDefault="009A468D" w:rsidP="009A468D">
      <w:pPr>
        <w:shd w:val="clear" w:color="auto" w:fill="FFFFFF"/>
        <w:spacing w:after="324" w:line="319" w:lineRule="atLeast"/>
        <w:rPr>
          <w:rFonts w:ascii="Calibri" w:eastAsia="Times New Roman" w:hAnsi="Calibri" w:cs="Calibri"/>
          <w:color w:val="444444"/>
          <w:sz w:val="23"/>
          <w:szCs w:val="23"/>
          <w:lang w:eastAsia="es-MX"/>
        </w:rPr>
      </w:pPr>
      <w:r w:rsidRPr="009A468D">
        <w:rPr>
          <w:rFonts w:ascii="Calibri" w:eastAsia="Times New Roman" w:hAnsi="Calibri" w:cs="Calibri"/>
          <w:b/>
          <w:bCs/>
          <w:color w:val="666666"/>
          <w:sz w:val="27"/>
          <w:szCs w:val="27"/>
          <w:lang w:eastAsia="es-MX"/>
        </w:rPr>
        <w:t>Atentamente </w:t>
      </w:r>
    </w:p>
    <w:p w:rsidR="009A468D" w:rsidRPr="009A468D" w:rsidRDefault="009A468D" w:rsidP="009A468D">
      <w:pPr>
        <w:shd w:val="clear" w:color="auto" w:fill="FFFFFF"/>
        <w:spacing w:after="324" w:line="319" w:lineRule="atLeast"/>
        <w:rPr>
          <w:rFonts w:ascii="Calibri" w:eastAsia="Times New Roman" w:hAnsi="Calibri" w:cs="Calibri"/>
          <w:color w:val="444444"/>
          <w:sz w:val="23"/>
          <w:szCs w:val="23"/>
          <w:lang w:eastAsia="es-MX"/>
        </w:rPr>
      </w:pPr>
      <w:r w:rsidRPr="009A468D">
        <w:rPr>
          <w:rFonts w:ascii="Calibri" w:eastAsia="Times New Roman" w:hAnsi="Calibri" w:cs="Calibri"/>
          <w:color w:val="666666"/>
          <w:sz w:val="24"/>
          <w:szCs w:val="24"/>
          <w:lang w:eastAsia="es-MX"/>
        </w:rPr>
        <w:t> </w:t>
      </w:r>
      <w:r w:rsidRPr="009A468D">
        <w:rPr>
          <w:rFonts w:ascii="Calibri" w:eastAsia="Times New Roman" w:hAnsi="Calibri" w:cs="Calibri"/>
          <w:b/>
          <w:bCs/>
          <w:color w:val="666666"/>
          <w:sz w:val="27"/>
          <w:szCs w:val="27"/>
          <w:lang w:eastAsia="es-MX"/>
        </w:rPr>
        <w:t>Dpto. Análisis Financiero y Presupuestal </w:t>
      </w:r>
    </w:p>
    <w:p w:rsidR="009A468D" w:rsidRPr="009A468D" w:rsidRDefault="009A468D" w:rsidP="009A468D">
      <w:pPr>
        <w:shd w:val="clear" w:color="auto" w:fill="FFFFFF"/>
        <w:spacing w:after="324" w:line="319" w:lineRule="atLeast"/>
        <w:rPr>
          <w:rFonts w:ascii="Calibri" w:eastAsia="Times New Roman" w:hAnsi="Calibri" w:cs="Calibri"/>
          <w:color w:val="444444"/>
          <w:sz w:val="23"/>
          <w:szCs w:val="23"/>
          <w:lang w:eastAsia="es-MX"/>
        </w:rPr>
      </w:pPr>
      <w:r w:rsidRPr="009A468D">
        <w:rPr>
          <w:rFonts w:ascii="Calibri" w:eastAsia="Times New Roman" w:hAnsi="Calibri" w:cs="Calibri"/>
          <w:b/>
          <w:bCs/>
          <w:color w:val="666666"/>
          <w:sz w:val="27"/>
          <w:szCs w:val="27"/>
          <w:lang w:eastAsia="es-MX"/>
        </w:rPr>
        <w:t>Dir. Auditoría Financiera a Municipios</w:t>
      </w:r>
    </w:p>
    <w:p w:rsidR="009A468D" w:rsidRPr="009A468D" w:rsidRDefault="009A468D" w:rsidP="009A468D">
      <w:pPr>
        <w:shd w:val="clear" w:color="auto" w:fill="FFFFFF"/>
        <w:spacing w:after="324" w:line="319" w:lineRule="atLeast"/>
        <w:rPr>
          <w:rFonts w:ascii="Calibri" w:eastAsia="Times New Roman" w:hAnsi="Calibri" w:cs="Calibri"/>
          <w:color w:val="444444"/>
          <w:sz w:val="23"/>
          <w:szCs w:val="23"/>
          <w:lang w:eastAsia="es-MX"/>
        </w:rPr>
      </w:pPr>
      <w:r w:rsidRPr="009A468D">
        <w:rPr>
          <w:rFonts w:ascii="Calibri" w:eastAsia="Times New Roman" w:hAnsi="Calibri" w:cs="Calibri"/>
          <w:b/>
          <w:bCs/>
          <w:color w:val="666666"/>
          <w:sz w:val="27"/>
          <w:szCs w:val="27"/>
          <w:lang w:eastAsia="es-MX"/>
        </w:rPr>
        <w:t>Auditoría Superior del Estado</w:t>
      </w:r>
    </w:p>
    <w:tbl>
      <w:tblPr>
        <w:tblW w:w="0" w:type="auto"/>
        <w:tblCellSpacing w:w="0" w:type="dxa"/>
        <w:tblCellMar>
          <w:left w:w="0" w:type="dxa"/>
          <w:right w:w="0" w:type="dxa"/>
        </w:tblCellMar>
        <w:tblLook w:val="04A0" w:firstRow="1" w:lastRow="0" w:firstColumn="1" w:lastColumn="0" w:noHBand="0" w:noVBand="1"/>
      </w:tblPr>
      <w:tblGrid>
        <w:gridCol w:w="725"/>
        <w:gridCol w:w="2235"/>
      </w:tblGrid>
      <w:tr w:rsidR="009A468D" w:rsidRPr="009A468D" w:rsidTr="009A468D">
        <w:trPr>
          <w:tblCellSpacing w:w="0" w:type="dxa"/>
        </w:trPr>
        <w:tc>
          <w:tcPr>
            <w:tcW w:w="0" w:type="auto"/>
            <w:noWrap/>
            <w:tcMar>
              <w:top w:w="0" w:type="dxa"/>
              <w:left w:w="0" w:type="dxa"/>
              <w:bottom w:w="30" w:type="dxa"/>
              <w:right w:w="60" w:type="dxa"/>
            </w:tcMar>
            <w:hideMark/>
          </w:tcPr>
          <w:p w:rsidR="009A468D" w:rsidRPr="009A468D" w:rsidRDefault="009A468D" w:rsidP="009A468D">
            <w:pPr>
              <w:spacing w:after="0" w:line="258" w:lineRule="atLeast"/>
              <w:rPr>
                <w:rFonts w:ascii="Segoe UI" w:eastAsia="Times New Roman" w:hAnsi="Segoe UI" w:cs="Segoe UI"/>
                <w:color w:val="666666"/>
                <w:sz w:val="18"/>
                <w:szCs w:val="18"/>
                <w:lang w:eastAsia="es-MX"/>
              </w:rPr>
            </w:pPr>
            <w:r w:rsidRPr="009A468D">
              <w:rPr>
                <w:rFonts w:ascii="Segoe UI" w:eastAsia="Times New Roman" w:hAnsi="Segoe UI" w:cs="Segoe UI"/>
                <w:color w:val="666666"/>
                <w:sz w:val="18"/>
                <w:szCs w:val="18"/>
                <w:lang w:eastAsia="es-MX"/>
              </w:rPr>
              <w:t>Enviado:</w:t>
            </w:r>
          </w:p>
        </w:tc>
        <w:tc>
          <w:tcPr>
            <w:tcW w:w="0" w:type="auto"/>
            <w:tcMar>
              <w:top w:w="0" w:type="dxa"/>
              <w:left w:w="0" w:type="dxa"/>
              <w:bottom w:w="30" w:type="dxa"/>
              <w:right w:w="60" w:type="dxa"/>
            </w:tcMar>
            <w:hideMark/>
          </w:tcPr>
          <w:p w:rsidR="009A468D" w:rsidRPr="009A468D" w:rsidRDefault="009A468D" w:rsidP="009A468D">
            <w:pPr>
              <w:spacing w:after="0" w:line="258" w:lineRule="atLeast"/>
              <w:rPr>
                <w:rFonts w:ascii="Segoe UI" w:eastAsia="Times New Roman" w:hAnsi="Segoe UI" w:cs="Segoe UI"/>
                <w:color w:val="000000"/>
                <w:sz w:val="18"/>
                <w:szCs w:val="18"/>
                <w:lang w:eastAsia="es-MX"/>
              </w:rPr>
            </w:pPr>
            <w:r w:rsidRPr="009A468D">
              <w:rPr>
                <w:rFonts w:ascii="Segoe UI" w:eastAsia="Times New Roman" w:hAnsi="Segoe UI" w:cs="Segoe UI"/>
                <w:color w:val="000000"/>
                <w:sz w:val="18"/>
                <w:szCs w:val="18"/>
                <w:lang w:eastAsia="es-MX"/>
              </w:rPr>
              <w:t>viernes, 11 de abril de 2014</w:t>
            </w:r>
          </w:p>
        </w:tc>
      </w:tr>
    </w:tbl>
    <w:p w:rsidR="00745867" w:rsidRDefault="00745867"/>
    <w:sectPr w:rsidR="007458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8D"/>
    <w:rsid w:val="00745867"/>
    <w:rsid w:val="007D631E"/>
    <w:rsid w:val="009A4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9A468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default">
    <w:name w:val="ecxdefault"/>
    <w:basedOn w:val="Normal"/>
    <w:rsid w:val="009A468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A4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9A468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default">
    <w:name w:val="ecxdefault"/>
    <w:basedOn w:val="Normal"/>
    <w:rsid w:val="009A468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A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56649">
      <w:bodyDiv w:val="1"/>
      <w:marLeft w:val="0"/>
      <w:marRight w:val="0"/>
      <w:marTop w:val="0"/>
      <w:marBottom w:val="0"/>
      <w:divBdr>
        <w:top w:val="none" w:sz="0" w:space="0" w:color="auto"/>
        <w:left w:val="none" w:sz="0" w:space="0" w:color="auto"/>
        <w:bottom w:val="none" w:sz="0" w:space="0" w:color="auto"/>
        <w:right w:val="none" w:sz="0" w:space="0" w:color="auto"/>
      </w:divBdr>
    </w:div>
    <w:div w:id="19339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2014-05-21T23:06:00Z</dcterms:created>
  <dcterms:modified xsi:type="dcterms:W3CDTF">2015-05-28T20:03:00Z</dcterms:modified>
</cp:coreProperties>
</file>